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8C" w:rsidRDefault="000C4403" w:rsidP="0069628C">
      <w:pPr>
        <w:pStyle w:val="NoSpacing"/>
        <w:jc w:val="center"/>
      </w:pPr>
      <w:r>
        <w:softHyphen/>
      </w:r>
      <w:r>
        <w:softHyphen/>
      </w:r>
      <w:r w:rsidR="00ED365B">
        <w:t>Eighth</w:t>
      </w:r>
      <w:r w:rsidR="0069628C">
        <w:t xml:space="preserve"> Grade Science Curriculum     Teacher:  Rosemary Calvert</w:t>
      </w:r>
    </w:p>
    <w:p w:rsidR="0069628C" w:rsidRDefault="0069628C" w:rsidP="0069628C">
      <w:pPr>
        <w:pStyle w:val="NoSpacing"/>
        <w:jc w:val="center"/>
      </w:pPr>
      <w:r>
        <w:t>St. Joseph School</w:t>
      </w:r>
    </w:p>
    <w:p w:rsidR="0069628C" w:rsidRDefault="00037B17" w:rsidP="0069628C">
      <w:pPr>
        <w:pStyle w:val="NoSpacing"/>
        <w:jc w:val="center"/>
      </w:pPr>
      <w:r>
        <w:t>2017 - 2018</w:t>
      </w:r>
    </w:p>
    <w:p w:rsidR="0069628C" w:rsidRDefault="0069628C" w:rsidP="0069628C">
      <w:pPr>
        <w:pStyle w:val="NoSpacing"/>
        <w:jc w:val="center"/>
      </w:pPr>
    </w:p>
    <w:p w:rsidR="001351EE" w:rsidRDefault="001351EE" w:rsidP="001351EE">
      <w:pPr>
        <w:pStyle w:val="NoSpacing"/>
      </w:pPr>
      <w:r w:rsidRPr="00A87419">
        <w:rPr>
          <w:b/>
          <w:u w:val="single"/>
        </w:rPr>
        <w:t>Course Description</w:t>
      </w:r>
      <w:r>
        <w:t>:  The</w:t>
      </w:r>
      <w:r w:rsidR="00037B17">
        <w:t xml:space="preserve"> Eighth</w:t>
      </w:r>
      <w:r>
        <w:t xml:space="preserve"> Grade Science curriculum is divided into three parts:   </w:t>
      </w:r>
      <w:r>
        <w:rPr>
          <w:b/>
        </w:rPr>
        <w:t>Earth Science</w:t>
      </w:r>
      <w:r>
        <w:t xml:space="preserve">:  which includes </w:t>
      </w:r>
      <w:r w:rsidR="00037B17">
        <w:t xml:space="preserve">understanding the universe, </w:t>
      </w:r>
      <w:r>
        <w:t>the major geologic events that shape</w:t>
      </w:r>
      <w:r w:rsidR="009F16BF">
        <w:t>d</w:t>
      </w:r>
      <w:r>
        <w:t xml:space="preserve"> the surface of the Earth</w:t>
      </w:r>
      <w:r w:rsidR="009F16BF">
        <w:t xml:space="preserve"> and Geological Time</w:t>
      </w:r>
      <w:r>
        <w:t xml:space="preserve">; </w:t>
      </w:r>
      <w:r>
        <w:rPr>
          <w:b/>
        </w:rPr>
        <w:t xml:space="preserve">Life Sciences </w:t>
      </w:r>
      <w:r>
        <w:t>where stude</w:t>
      </w:r>
      <w:r w:rsidR="009F16BF">
        <w:t>nts will explore</w:t>
      </w:r>
      <w:r>
        <w:t xml:space="preserve"> heredity</w:t>
      </w:r>
      <w:r w:rsidR="00037B17">
        <w:t xml:space="preserve"> as it relates to adaptation, evolution, and biodiversity</w:t>
      </w:r>
      <w:r>
        <w:t xml:space="preserve">; and </w:t>
      </w:r>
      <w:r w:rsidRPr="000B475A">
        <w:rPr>
          <w:b/>
        </w:rPr>
        <w:t xml:space="preserve"> </w:t>
      </w:r>
      <w:r>
        <w:rPr>
          <w:b/>
        </w:rPr>
        <w:t xml:space="preserve">Physical Science </w:t>
      </w:r>
      <w:r>
        <w:t xml:space="preserve"> which will explore motion, how objects move in ways that can be observed, predicted, and measured and includes simple machines, force, speed, velo</w:t>
      </w:r>
      <w:r w:rsidR="009F16BF">
        <w:t>city and Newton’s Law of Motion, sound and light, and Chemistry.</w:t>
      </w:r>
    </w:p>
    <w:p w:rsidR="00A87419" w:rsidRDefault="001351EE" w:rsidP="001351EE">
      <w:pPr>
        <w:pStyle w:val="NoSpacing"/>
      </w:pPr>
      <w: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7038"/>
      </w:tblGrid>
      <w:tr w:rsidR="00A87419" w:rsidTr="00B42E6B">
        <w:tc>
          <w:tcPr>
            <w:tcW w:w="1008" w:type="dxa"/>
          </w:tcPr>
          <w:p w:rsidR="00A87419" w:rsidRPr="00A87419" w:rsidRDefault="00A87419" w:rsidP="00A874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530" w:type="dxa"/>
          </w:tcPr>
          <w:p w:rsidR="00A87419" w:rsidRPr="00A87419" w:rsidRDefault="00A87419" w:rsidP="00A87419">
            <w:pPr>
              <w:pStyle w:val="NoSpacing"/>
              <w:jc w:val="center"/>
              <w:rPr>
                <w:b/>
              </w:rPr>
            </w:pPr>
            <w:r w:rsidRPr="00A87419">
              <w:rPr>
                <w:b/>
              </w:rPr>
              <w:t>Date</w:t>
            </w:r>
          </w:p>
        </w:tc>
        <w:tc>
          <w:tcPr>
            <w:tcW w:w="7038" w:type="dxa"/>
          </w:tcPr>
          <w:p w:rsidR="00A87419" w:rsidRPr="00A87419" w:rsidRDefault="00A87419" w:rsidP="00A874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0C48F8" w:rsidTr="00B42E6B">
        <w:tc>
          <w:tcPr>
            <w:tcW w:w="1008" w:type="dxa"/>
          </w:tcPr>
          <w:p w:rsidR="000C48F8" w:rsidRPr="00A87419" w:rsidRDefault="000C48F8" w:rsidP="000C48F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0C48F8" w:rsidRPr="00A87419" w:rsidRDefault="000C48F8" w:rsidP="000C48F8">
            <w:pPr>
              <w:pStyle w:val="NoSpacing"/>
              <w:jc w:val="center"/>
            </w:pPr>
            <w:r>
              <w:t>8/8- 8/11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Safety Rules, Scientific Method, Controls and Variables, Tools of Science, SI Units</w:t>
            </w:r>
          </w:p>
        </w:tc>
      </w:tr>
      <w:tr w:rsidR="000C48F8" w:rsidTr="00B42E6B">
        <w:tc>
          <w:tcPr>
            <w:tcW w:w="1008" w:type="dxa"/>
          </w:tcPr>
          <w:p w:rsidR="000C48F8" w:rsidRPr="00534B45" w:rsidRDefault="000C48F8" w:rsidP="000C48F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0C48F8" w:rsidRPr="00534B45" w:rsidRDefault="000C48F8" w:rsidP="000C48F8">
            <w:pPr>
              <w:pStyle w:val="NoSpacing"/>
              <w:jc w:val="center"/>
            </w:pPr>
            <w:r>
              <w:t>8/14 - 8/18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Understanding the Universe</w:t>
            </w:r>
          </w:p>
        </w:tc>
      </w:tr>
      <w:tr w:rsidR="000C48F8" w:rsidTr="00B42E6B">
        <w:tc>
          <w:tcPr>
            <w:tcW w:w="1008" w:type="dxa"/>
          </w:tcPr>
          <w:p w:rsidR="000C48F8" w:rsidRPr="00534B45" w:rsidRDefault="000C48F8" w:rsidP="000C48F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0C48F8" w:rsidRPr="00534B45" w:rsidRDefault="000C48F8" w:rsidP="000C48F8">
            <w:pPr>
              <w:pStyle w:val="NoSpacing"/>
              <w:jc w:val="center"/>
            </w:pPr>
            <w:r>
              <w:t>8/21 - 8/25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SOLAR ECLIPSE 8/21   Position and Motion, Speed and Velocity</w:t>
            </w:r>
          </w:p>
        </w:tc>
      </w:tr>
      <w:tr w:rsidR="000C48F8" w:rsidTr="00B42E6B">
        <w:tc>
          <w:tcPr>
            <w:tcW w:w="1008" w:type="dxa"/>
          </w:tcPr>
          <w:p w:rsidR="000C48F8" w:rsidRPr="00534B45" w:rsidRDefault="000C48F8" w:rsidP="000C48F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0C48F8" w:rsidRPr="00534B45" w:rsidRDefault="000C48F8" w:rsidP="000C48F8">
            <w:pPr>
              <w:pStyle w:val="NoSpacing"/>
              <w:jc w:val="center"/>
            </w:pPr>
            <w:r>
              <w:t>8/28- 9/1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Acceleration, Gravity and Friction</w:t>
            </w:r>
          </w:p>
        </w:tc>
      </w:tr>
      <w:tr w:rsidR="000C48F8" w:rsidTr="001607FB">
        <w:trPr>
          <w:trHeight w:val="242"/>
        </w:trPr>
        <w:tc>
          <w:tcPr>
            <w:tcW w:w="1008" w:type="dxa"/>
          </w:tcPr>
          <w:p w:rsidR="000C48F8" w:rsidRPr="00534B45" w:rsidRDefault="000C48F8" w:rsidP="000C48F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0C48F8" w:rsidRPr="00534B45" w:rsidRDefault="000C48F8" w:rsidP="000C48F8">
            <w:pPr>
              <w:pStyle w:val="NoSpacing"/>
              <w:jc w:val="center"/>
            </w:pPr>
            <w:r>
              <w:t>9/4 - 9/8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Newton’s First Law and Newton’s Second Law of Motion</w:t>
            </w:r>
          </w:p>
        </w:tc>
      </w:tr>
      <w:tr w:rsidR="000C48F8" w:rsidTr="00B42E6B">
        <w:tc>
          <w:tcPr>
            <w:tcW w:w="1008" w:type="dxa"/>
          </w:tcPr>
          <w:p w:rsidR="000C48F8" w:rsidRPr="00534B45" w:rsidRDefault="000C48F8" w:rsidP="000C48F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0C48F8" w:rsidRPr="00534B45" w:rsidRDefault="000C48F8" w:rsidP="000C48F8">
            <w:pPr>
              <w:pStyle w:val="NoSpacing"/>
              <w:jc w:val="center"/>
            </w:pPr>
            <w:r>
              <w:t>9/11 - 9/15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Newton’s Third Law of Motion</w:t>
            </w:r>
          </w:p>
        </w:tc>
      </w:tr>
      <w:tr w:rsidR="000C48F8" w:rsidTr="00B42E6B">
        <w:tc>
          <w:tcPr>
            <w:tcW w:w="1008" w:type="dxa"/>
          </w:tcPr>
          <w:p w:rsidR="000C48F8" w:rsidRPr="00534B45" w:rsidRDefault="000C48F8" w:rsidP="000C48F8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0C48F8" w:rsidRPr="00534B45" w:rsidRDefault="000C48F8" w:rsidP="000C48F8">
            <w:pPr>
              <w:pStyle w:val="NoSpacing"/>
              <w:jc w:val="center"/>
            </w:pPr>
            <w:r>
              <w:t>9/18 - 9/22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Types of Energy, Energy Transformation and Work, Simple Machines</w:t>
            </w:r>
          </w:p>
        </w:tc>
      </w:tr>
      <w:tr w:rsidR="000C48F8" w:rsidTr="00B42E6B">
        <w:tc>
          <w:tcPr>
            <w:tcW w:w="1008" w:type="dxa"/>
          </w:tcPr>
          <w:p w:rsidR="000C48F8" w:rsidRDefault="000C48F8" w:rsidP="000C48F8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9/25 – 9/29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Simple Machines</w:t>
            </w:r>
          </w:p>
        </w:tc>
      </w:tr>
      <w:tr w:rsidR="000C48F8" w:rsidTr="00B42E6B">
        <w:tc>
          <w:tcPr>
            <w:tcW w:w="1008" w:type="dxa"/>
          </w:tcPr>
          <w:p w:rsidR="000C48F8" w:rsidRDefault="000C48F8" w:rsidP="000C48F8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10/2- 10/6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Sound and Light</w:t>
            </w:r>
          </w:p>
        </w:tc>
      </w:tr>
      <w:tr w:rsidR="000C48F8" w:rsidTr="00B42E6B">
        <w:tc>
          <w:tcPr>
            <w:tcW w:w="1008" w:type="dxa"/>
          </w:tcPr>
          <w:p w:rsidR="000C48F8" w:rsidRDefault="000C48F8" w:rsidP="000C48F8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10/9 – 10/13</w:t>
            </w:r>
          </w:p>
        </w:tc>
        <w:tc>
          <w:tcPr>
            <w:tcW w:w="7038" w:type="dxa"/>
          </w:tcPr>
          <w:p w:rsidR="000C48F8" w:rsidRDefault="000C48F8" w:rsidP="000C48F8">
            <w:pPr>
              <w:pStyle w:val="NoSpacing"/>
            </w:pPr>
            <w:r>
              <w:t>FALL BREAK</w:t>
            </w:r>
          </w:p>
        </w:tc>
      </w:tr>
      <w:tr w:rsidR="000C48F8" w:rsidTr="00B42E6B">
        <w:tc>
          <w:tcPr>
            <w:tcW w:w="1008" w:type="dxa"/>
          </w:tcPr>
          <w:p w:rsidR="000C48F8" w:rsidRDefault="000C48F8" w:rsidP="000C48F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10/16 - 10/20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Mirrors, Lenses, and the Eye</w:t>
            </w:r>
          </w:p>
        </w:tc>
      </w:tr>
      <w:tr w:rsidR="000C48F8" w:rsidTr="00B42E6B">
        <w:tc>
          <w:tcPr>
            <w:tcW w:w="1008" w:type="dxa"/>
          </w:tcPr>
          <w:p w:rsidR="000C48F8" w:rsidRDefault="000C48F8" w:rsidP="000C48F8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0C48F8" w:rsidRDefault="00ED7E13" w:rsidP="000C48F8">
            <w:pPr>
              <w:pStyle w:val="NoSpacing"/>
              <w:jc w:val="center"/>
            </w:pPr>
            <w:r>
              <w:t>10/23- 10/27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Thermal Energy</w:t>
            </w:r>
          </w:p>
        </w:tc>
      </w:tr>
      <w:tr w:rsidR="000C48F8" w:rsidTr="00B42E6B">
        <w:tc>
          <w:tcPr>
            <w:tcW w:w="1008" w:type="dxa"/>
          </w:tcPr>
          <w:p w:rsidR="000C48F8" w:rsidRDefault="000C48F8" w:rsidP="000C48F8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0C48F8" w:rsidRDefault="00ED7E13" w:rsidP="000C48F8">
            <w:pPr>
              <w:pStyle w:val="NoSpacing"/>
              <w:jc w:val="center"/>
            </w:pPr>
            <w:r>
              <w:t>10/30-11/3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States of Matter:  Solids, Liquids, and Gases</w:t>
            </w:r>
          </w:p>
        </w:tc>
      </w:tr>
      <w:tr w:rsidR="000C48F8" w:rsidTr="00B42E6B">
        <w:tc>
          <w:tcPr>
            <w:tcW w:w="1008" w:type="dxa"/>
          </w:tcPr>
          <w:p w:rsidR="000C48F8" w:rsidRDefault="000C48F8" w:rsidP="000C48F8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0C48F8" w:rsidRDefault="00ED7E13" w:rsidP="000C48F8">
            <w:pPr>
              <w:pStyle w:val="NoSpacing"/>
              <w:jc w:val="center"/>
            </w:pPr>
            <w:r>
              <w:t>11/6 -11/10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Behavior of Gases</w:t>
            </w:r>
          </w:p>
        </w:tc>
      </w:tr>
      <w:tr w:rsidR="000C48F8" w:rsidTr="00B42E6B">
        <w:tc>
          <w:tcPr>
            <w:tcW w:w="1008" w:type="dxa"/>
          </w:tcPr>
          <w:p w:rsidR="000C48F8" w:rsidRDefault="000C48F8" w:rsidP="000C48F8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530" w:type="dxa"/>
          </w:tcPr>
          <w:p w:rsidR="000C48F8" w:rsidRDefault="00ED7E13" w:rsidP="000C48F8">
            <w:pPr>
              <w:pStyle w:val="NoSpacing"/>
              <w:jc w:val="center"/>
            </w:pPr>
            <w:r>
              <w:t>11/13-11/17</w:t>
            </w:r>
          </w:p>
        </w:tc>
        <w:tc>
          <w:tcPr>
            <w:tcW w:w="7038" w:type="dxa"/>
          </w:tcPr>
          <w:p w:rsidR="000C48F8" w:rsidRPr="00CD593A" w:rsidRDefault="000C48F8" w:rsidP="000C48F8">
            <w:pPr>
              <w:pStyle w:val="NoSpacing"/>
            </w:pPr>
            <w:r>
              <w:t>Parts of the Atom</w:t>
            </w:r>
            <w:r w:rsidR="00D16A4E">
              <w:t>, Periodic Table</w:t>
            </w:r>
          </w:p>
        </w:tc>
      </w:tr>
      <w:tr w:rsidR="000C48F8" w:rsidTr="00B42E6B">
        <w:tc>
          <w:tcPr>
            <w:tcW w:w="1008" w:type="dxa"/>
          </w:tcPr>
          <w:p w:rsidR="000C48F8" w:rsidRDefault="000C48F8" w:rsidP="000C48F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530" w:type="dxa"/>
          </w:tcPr>
          <w:p w:rsidR="000C48F8" w:rsidRDefault="00ED7E13" w:rsidP="000C48F8">
            <w:pPr>
              <w:pStyle w:val="NoSpacing"/>
              <w:jc w:val="center"/>
            </w:pPr>
            <w:r>
              <w:t xml:space="preserve">11/20 </w:t>
            </w:r>
            <w:r w:rsidR="00D16A4E">
              <w:t>-11/21</w:t>
            </w:r>
          </w:p>
        </w:tc>
        <w:tc>
          <w:tcPr>
            <w:tcW w:w="7038" w:type="dxa"/>
          </w:tcPr>
          <w:p w:rsidR="000C48F8" w:rsidRPr="00D03454" w:rsidRDefault="000C48F8" w:rsidP="000C48F8">
            <w:pPr>
              <w:pStyle w:val="NoSpacing"/>
            </w:pPr>
            <w:r>
              <w:t>Periodic Table</w:t>
            </w:r>
          </w:p>
        </w:tc>
      </w:tr>
      <w:tr w:rsidR="00D16A4E" w:rsidTr="00B42E6B">
        <w:tc>
          <w:tcPr>
            <w:tcW w:w="1008" w:type="dxa"/>
          </w:tcPr>
          <w:p w:rsidR="00D16A4E" w:rsidRDefault="00D16A4E" w:rsidP="000C48F8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D16A4E" w:rsidRDefault="00D16A4E" w:rsidP="000C48F8">
            <w:pPr>
              <w:pStyle w:val="NoSpacing"/>
              <w:jc w:val="center"/>
            </w:pPr>
            <w:r>
              <w:t>11/22 – 11/24</w:t>
            </w:r>
          </w:p>
        </w:tc>
        <w:tc>
          <w:tcPr>
            <w:tcW w:w="7038" w:type="dxa"/>
          </w:tcPr>
          <w:p w:rsidR="00D16A4E" w:rsidRDefault="00D16A4E" w:rsidP="000C48F8">
            <w:pPr>
              <w:pStyle w:val="NoSpacing"/>
            </w:pPr>
            <w:r>
              <w:t>THANKSGIVING BREAK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11/27-11/30</w:t>
            </w:r>
          </w:p>
        </w:tc>
        <w:tc>
          <w:tcPr>
            <w:tcW w:w="7038" w:type="dxa"/>
          </w:tcPr>
          <w:p w:rsidR="000C48F8" w:rsidRPr="00D03454" w:rsidRDefault="00D16A4E" w:rsidP="000C48F8">
            <w:pPr>
              <w:pStyle w:val="NoSpacing"/>
            </w:pPr>
            <w:r>
              <w:t xml:space="preserve">Electrons and Energy Levels, Compounds, </w:t>
            </w:r>
            <w:r w:rsidR="000C48F8">
              <w:t>Chemical Formulas, Covalent Bonds, Ionic and Metallic Bonds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12/4-12/8</w:t>
            </w:r>
          </w:p>
        </w:tc>
        <w:tc>
          <w:tcPr>
            <w:tcW w:w="7038" w:type="dxa"/>
          </w:tcPr>
          <w:p w:rsidR="000C48F8" w:rsidRPr="00D03454" w:rsidRDefault="000C48F8" w:rsidP="000C48F8">
            <w:pPr>
              <w:pStyle w:val="NoSpacing"/>
            </w:pPr>
            <w:r>
              <w:t>Chemical Reactions, Balancing Equations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12/11-12/15</w:t>
            </w:r>
          </w:p>
        </w:tc>
        <w:tc>
          <w:tcPr>
            <w:tcW w:w="7038" w:type="dxa"/>
          </w:tcPr>
          <w:p w:rsidR="000C48F8" w:rsidRPr="00D03454" w:rsidRDefault="000C48F8" w:rsidP="000C48F8">
            <w:pPr>
              <w:pStyle w:val="NoSpacing"/>
            </w:pPr>
            <w:r>
              <w:t>Balancing Equations and Midterm Review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 xml:space="preserve">12/18-12/21 </w:t>
            </w:r>
          </w:p>
        </w:tc>
        <w:tc>
          <w:tcPr>
            <w:tcW w:w="7038" w:type="dxa"/>
          </w:tcPr>
          <w:p w:rsidR="000C48F8" w:rsidRPr="00D03454" w:rsidRDefault="000C48F8" w:rsidP="000C48F8">
            <w:pPr>
              <w:pStyle w:val="NoSpacing"/>
            </w:pPr>
            <w:r>
              <w:t>Midterm Review and Midterm Exams</w:t>
            </w:r>
          </w:p>
        </w:tc>
      </w:tr>
      <w:tr w:rsidR="000C48F8" w:rsidTr="00B42E6B">
        <w:tc>
          <w:tcPr>
            <w:tcW w:w="1008" w:type="dxa"/>
          </w:tcPr>
          <w:p w:rsidR="000C48F8" w:rsidRDefault="000C48F8" w:rsidP="000C48F8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12/22 – 1/5/2018</w:t>
            </w:r>
          </w:p>
        </w:tc>
        <w:tc>
          <w:tcPr>
            <w:tcW w:w="7038" w:type="dxa"/>
          </w:tcPr>
          <w:p w:rsidR="000C48F8" w:rsidRDefault="000C48F8" w:rsidP="000C48F8">
            <w:pPr>
              <w:pStyle w:val="NoSpacing"/>
            </w:pPr>
            <w:r>
              <w:t>CHRISTMAS BREAK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2018</w:t>
            </w:r>
          </w:p>
          <w:p w:rsidR="000C48F8" w:rsidRDefault="000C48F8" w:rsidP="000C48F8">
            <w:pPr>
              <w:pStyle w:val="NoSpacing"/>
              <w:jc w:val="center"/>
            </w:pPr>
            <w:r>
              <w:t>1/8-1/12</w:t>
            </w:r>
          </w:p>
        </w:tc>
        <w:tc>
          <w:tcPr>
            <w:tcW w:w="7038" w:type="dxa"/>
          </w:tcPr>
          <w:p w:rsidR="000C48F8" w:rsidRPr="00D03454" w:rsidRDefault="000C48F8" w:rsidP="000C48F8">
            <w:pPr>
              <w:pStyle w:val="NoSpacing"/>
            </w:pPr>
            <w:r>
              <w:t>Energy Changes in Chemical Reactions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1/15-1/19</w:t>
            </w:r>
          </w:p>
        </w:tc>
        <w:tc>
          <w:tcPr>
            <w:tcW w:w="7038" w:type="dxa"/>
          </w:tcPr>
          <w:p w:rsidR="000C48F8" w:rsidRPr="009706CA" w:rsidRDefault="000C48F8" w:rsidP="000C48F8">
            <w:pPr>
              <w:pStyle w:val="NoSpacing"/>
            </w:pPr>
            <w:r>
              <w:t>Energy Changes in Chemical Reactions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1/22-1/26</w:t>
            </w:r>
          </w:p>
        </w:tc>
        <w:tc>
          <w:tcPr>
            <w:tcW w:w="7038" w:type="dxa"/>
          </w:tcPr>
          <w:p w:rsidR="000C48F8" w:rsidRPr="009706CA" w:rsidRDefault="000C48F8" w:rsidP="000C48F8">
            <w:pPr>
              <w:pStyle w:val="NoSpacing"/>
            </w:pPr>
            <w:r>
              <w:t>Substances, Mixtures, Solutions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1/29-2/2</w:t>
            </w:r>
          </w:p>
        </w:tc>
        <w:tc>
          <w:tcPr>
            <w:tcW w:w="7038" w:type="dxa"/>
          </w:tcPr>
          <w:p w:rsidR="000C48F8" w:rsidRPr="009706CA" w:rsidRDefault="000C48F8" w:rsidP="000C48F8">
            <w:pPr>
              <w:pStyle w:val="NoSpacing"/>
            </w:pPr>
            <w:r>
              <w:t>SCIENCE FAIR!  pH</w:t>
            </w:r>
          </w:p>
        </w:tc>
      </w:tr>
      <w:tr w:rsidR="000C48F8" w:rsidTr="00D742E3">
        <w:trPr>
          <w:trHeight w:val="332"/>
        </w:trPr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2/5-2/9</w:t>
            </w:r>
          </w:p>
        </w:tc>
        <w:tc>
          <w:tcPr>
            <w:tcW w:w="7038" w:type="dxa"/>
          </w:tcPr>
          <w:p w:rsidR="000C48F8" w:rsidRPr="009706CA" w:rsidRDefault="000C48F8" w:rsidP="000C48F8">
            <w:pPr>
              <w:pStyle w:val="NoSpacing"/>
            </w:pPr>
            <w:r>
              <w:t>Biomolecules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2/12-2/16</w:t>
            </w:r>
          </w:p>
        </w:tc>
        <w:tc>
          <w:tcPr>
            <w:tcW w:w="7038" w:type="dxa"/>
          </w:tcPr>
          <w:p w:rsidR="000C48F8" w:rsidRPr="009706CA" w:rsidRDefault="000C48F8" w:rsidP="000C48F8">
            <w:pPr>
              <w:pStyle w:val="NoSpacing"/>
            </w:pPr>
            <w:r>
              <w:t>Clues to Earth’s Past:  Fossils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2/19-2/23</w:t>
            </w:r>
          </w:p>
        </w:tc>
        <w:tc>
          <w:tcPr>
            <w:tcW w:w="7038" w:type="dxa"/>
          </w:tcPr>
          <w:p w:rsidR="000C48F8" w:rsidRPr="009706CA" w:rsidRDefault="000C48F8" w:rsidP="000C48F8">
            <w:pPr>
              <w:pStyle w:val="NoSpacing"/>
            </w:pPr>
            <w:r>
              <w:t>Relative and Absolute Dating of Rocks</w:t>
            </w:r>
          </w:p>
        </w:tc>
      </w:tr>
      <w:tr w:rsidR="000C48F8" w:rsidTr="00DA4903">
        <w:trPr>
          <w:trHeight w:val="70"/>
        </w:trPr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2/26-3/2</w:t>
            </w:r>
          </w:p>
        </w:tc>
        <w:tc>
          <w:tcPr>
            <w:tcW w:w="7038" w:type="dxa"/>
          </w:tcPr>
          <w:p w:rsidR="000C48F8" w:rsidRPr="00C14C55" w:rsidRDefault="000C48F8" w:rsidP="000C48F8">
            <w:pPr>
              <w:pStyle w:val="NoSpacing"/>
            </w:pPr>
            <w:r>
              <w:t>Geological Time:  History and Evolution of Life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lastRenderedPageBreak/>
              <w:t>28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3/5-3/9</w:t>
            </w:r>
          </w:p>
        </w:tc>
        <w:tc>
          <w:tcPr>
            <w:tcW w:w="7038" w:type="dxa"/>
          </w:tcPr>
          <w:p w:rsidR="000C48F8" w:rsidRPr="00C14C55" w:rsidRDefault="000C48F8" w:rsidP="000C48F8">
            <w:pPr>
              <w:pStyle w:val="NoSpacing"/>
            </w:pPr>
            <w:r>
              <w:t>Paleozoic, Mesozoic, Cenozoic Eras</w:t>
            </w:r>
          </w:p>
        </w:tc>
      </w:tr>
      <w:tr w:rsidR="00ED7E13" w:rsidTr="00B42E6B">
        <w:tc>
          <w:tcPr>
            <w:tcW w:w="1008" w:type="dxa"/>
          </w:tcPr>
          <w:p w:rsidR="00ED7E13" w:rsidRDefault="00ED7E13" w:rsidP="000C48F8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ED7E13" w:rsidRDefault="00ED7E13" w:rsidP="000C48F8">
            <w:pPr>
              <w:pStyle w:val="NoSpacing"/>
              <w:jc w:val="center"/>
            </w:pPr>
            <w:r>
              <w:t>3/12 – 3/16</w:t>
            </w:r>
          </w:p>
        </w:tc>
        <w:tc>
          <w:tcPr>
            <w:tcW w:w="7038" w:type="dxa"/>
          </w:tcPr>
          <w:p w:rsidR="00ED7E13" w:rsidRDefault="00ED7E13" w:rsidP="000C48F8">
            <w:pPr>
              <w:pStyle w:val="NoSpacing"/>
            </w:pPr>
            <w:r>
              <w:t>SPRING BREAK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3/19-3/23</w:t>
            </w:r>
          </w:p>
        </w:tc>
        <w:tc>
          <w:tcPr>
            <w:tcW w:w="7038" w:type="dxa"/>
          </w:tcPr>
          <w:p w:rsidR="000C48F8" w:rsidRPr="00C14C55" w:rsidRDefault="00ED7E13" w:rsidP="000C48F8">
            <w:pPr>
              <w:pStyle w:val="NoSpacing"/>
            </w:pPr>
            <w:r>
              <w:t xml:space="preserve">Humans and Ecosystems, </w:t>
            </w:r>
            <w:r w:rsidR="000C48F8">
              <w:t>How Body Systems Interact - Biofeedback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3/26-3/29</w:t>
            </w:r>
          </w:p>
        </w:tc>
        <w:tc>
          <w:tcPr>
            <w:tcW w:w="7038" w:type="dxa"/>
          </w:tcPr>
          <w:p w:rsidR="000C48F8" w:rsidRPr="00C14C55" w:rsidRDefault="000C48F8" w:rsidP="000C48F8">
            <w:pPr>
              <w:pStyle w:val="NoSpacing"/>
            </w:pPr>
            <w:r>
              <w:t>Heredity   GOOD FRIDAY 3/30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4/3-4/6</w:t>
            </w:r>
          </w:p>
        </w:tc>
        <w:tc>
          <w:tcPr>
            <w:tcW w:w="7038" w:type="dxa"/>
          </w:tcPr>
          <w:p w:rsidR="000C48F8" w:rsidRPr="00C14C55" w:rsidRDefault="000C48F8" w:rsidP="000C48F8">
            <w:pPr>
              <w:pStyle w:val="NoSpacing"/>
            </w:pPr>
            <w:r>
              <w:t>EASTER MONDAY 4/2   Genetic Disorders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4/9-4/13</w:t>
            </w:r>
          </w:p>
        </w:tc>
        <w:tc>
          <w:tcPr>
            <w:tcW w:w="7038" w:type="dxa"/>
          </w:tcPr>
          <w:p w:rsidR="000C48F8" w:rsidRPr="00C14C55" w:rsidRDefault="000C48F8" w:rsidP="000C48F8">
            <w:pPr>
              <w:pStyle w:val="NoSpacing"/>
            </w:pPr>
            <w:r>
              <w:t>Bioengineering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4/16-4/20</w:t>
            </w:r>
          </w:p>
        </w:tc>
        <w:tc>
          <w:tcPr>
            <w:tcW w:w="7038" w:type="dxa"/>
          </w:tcPr>
          <w:p w:rsidR="000C48F8" w:rsidRPr="00C14C55" w:rsidRDefault="000C48F8" w:rsidP="000C48F8">
            <w:pPr>
              <w:pStyle w:val="NoSpacing"/>
            </w:pPr>
            <w:r>
              <w:t>Adaptation and Evolution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4/23- 4/27</w:t>
            </w:r>
          </w:p>
        </w:tc>
        <w:tc>
          <w:tcPr>
            <w:tcW w:w="7038" w:type="dxa"/>
          </w:tcPr>
          <w:p w:rsidR="000C48F8" w:rsidRPr="00C14C55" w:rsidRDefault="000C48F8" w:rsidP="000C48F8">
            <w:pPr>
              <w:pStyle w:val="NoSpacing"/>
            </w:pPr>
            <w:r>
              <w:t>CAMP GREENVILLE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4/30- 5/4</w:t>
            </w:r>
          </w:p>
        </w:tc>
        <w:tc>
          <w:tcPr>
            <w:tcW w:w="7038" w:type="dxa"/>
          </w:tcPr>
          <w:p w:rsidR="000C48F8" w:rsidRPr="00C14C55" w:rsidRDefault="000C48F8" w:rsidP="000C48F8">
            <w:pPr>
              <w:pStyle w:val="NoSpacing"/>
            </w:pPr>
            <w:r>
              <w:t>Biodiversity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5/7- 5/11</w:t>
            </w:r>
          </w:p>
        </w:tc>
        <w:tc>
          <w:tcPr>
            <w:tcW w:w="7038" w:type="dxa"/>
          </w:tcPr>
          <w:p w:rsidR="000C48F8" w:rsidRPr="003253C8" w:rsidRDefault="000C48F8" w:rsidP="000C48F8">
            <w:pPr>
              <w:pStyle w:val="NoSpacing"/>
            </w:pPr>
            <w:r>
              <w:t>8</w:t>
            </w:r>
            <w:r w:rsidRPr="00F73071">
              <w:rPr>
                <w:vertAlign w:val="superscript"/>
              </w:rPr>
              <w:t>th</w:t>
            </w:r>
            <w:r>
              <w:t xml:space="preserve"> Grade Review for Exams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37</w:t>
            </w:r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5/14 - 5/18</w:t>
            </w:r>
          </w:p>
        </w:tc>
        <w:tc>
          <w:tcPr>
            <w:tcW w:w="7038" w:type="dxa"/>
          </w:tcPr>
          <w:p w:rsidR="000C48F8" w:rsidRPr="00F73071" w:rsidRDefault="000C48F8" w:rsidP="000C48F8">
            <w:pPr>
              <w:pStyle w:val="NoSpacing"/>
              <w:rPr>
                <w:b/>
              </w:rPr>
            </w:pPr>
            <w:r>
              <w:rPr>
                <w:b/>
              </w:rPr>
              <w:t>8th GRADE FINALS, 8</w:t>
            </w:r>
            <w:r w:rsidRPr="00F7307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GRADUATION 5/17</w:t>
            </w:r>
          </w:p>
        </w:tc>
      </w:tr>
      <w:tr w:rsidR="000C48F8" w:rsidTr="00B42E6B">
        <w:tc>
          <w:tcPr>
            <w:tcW w:w="1008" w:type="dxa"/>
          </w:tcPr>
          <w:p w:rsidR="000C48F8" w:rsidRDefault="00D16A4E" w:rsidP="000C48F8">
            <w:pPr>
              <w:pStyle w:val="NoSpacing"/>
              <w:jc w:val="center"/>
            </w:pPr>
            <w:r>
              <w:t>38</w:t>
            </w:r>
            <w:bookmarkStart w:id="0" w:name="_GoBack"/>
            <w:bookmarkEnd w:id="0"/>
          </w:p>
        </w:tc>
        <w:tc>
          <w:tcPr>
            <w:tcW w:w="1530" w:type="dxa"/>
          </w:tcPr>
          <w:p w:rsidR="000C48F8" w:rsidRDefault="000C48F8" w:rsidP="000C48F8">
            <w:pPr>
              <w:pStyle w:val="NoSpacing"/>
              <w:jc w:val="center"/>
            </w:pPr>
            <w:r>
              <w:t>5/21 – 5/24</w:t>
            </w:r>
          </w:p>
        </w:tc>
        <w:tc>
          <w:tcPr>
            <w:tcW w:w="7038" w:type="dxa"/>
          </w:tcPr>
          <w:p w:rsidR="000C48F8" w:rsidRDefault="000C48F8" w:rsidP="000C48F8">
            <w:pPr>
              <w:pStyle w:val="NoSpacing"/>
            </w:pPr>
            <w:r>
              <w:t>Middle School Finals, Field Day</w:t>
            </w:r>
          </w:p>
        </w:tc>
      </w:tr>
    </w:tbl>
    <w:p w:rsidR="00A87419" w:rsidRPr="00A87419" w:rsidRDefault="00A87419" w:rsidP="0069628C">
      <w:pPr>
        <w:pStyle w:val="NoSpacing"/>
        <w:rPr>
          <w:b/>
          <w:u w:val="single"/>
        </w:rPr>
      </w:pPr>
    </w:p>
    <w:sectPr w:rsidR="00A87419" w:rsidRPr="00A87419" w:rsidSect="0040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28C"/>
    <w:rsid w:val="00037B17"/>
    <w:rsid w:val="00080EBF"/>
    <w:rsid w:val="000C4403"/>
    <w:rsid w:val="000C48F8"/>
    <w:rsid w:val="001351EE"/>
    <w:rsid w:val="001607FB"/>
    <w:rsid w:val="0018761B"/>
    <w:rsid w:val="0019342D"/>
    <w:rsid w:val="001B08C3"/>
    <w:rsid w:val="001B7B05"/>
    <w:rsid w:val="001D2132"/>
    <w:rsid w:val="00274D3C"/>
    <w:rsid w:val="00286038"/>
    <w:rsid w:val="003054A8"/>
    <w:rsid w:val="00323DB2"/>
    <w:rsid w:val="003253C8"/>
    <w:rsid w:val="0033457C"/>
    <w:rsid w:val="0039107D"/>
    <w:rsid w:val="004043A9"/>
    <w:rsid w:val="00451528"/>
    <w:rsid w:val="00465CF4"/>
    <w:rsid w:val="004732DF"/>
    <w:rsid w:val="004C20A4"/>
    <w:rsid w:val="004E0275"/>
    <w:rsid w:val="00506E62"/>
    <w:rsid w:val="00534B45"/>
    <w:rsid w:val="005475F0"/>
    <w:rsid w:val="00561A91"/>
    <w:rsid w:val="005C1F22"/>
    <w:rsid w:val="00634E3E"/>
    <w:rsid w:val="00655B60"/>
    <w:rsid w:val="0069628C"/>
    <w:rsid w:val="006C053F"/>
    <w:rsid w:val="006E52CD"/>
    <w:rsid w:val="0074381B"/>
    <w:rsid w:val="00790CE9"/>
    <w:rsid w:val="007B29B5"/>
    <w:rsid w:val="007D701D"/>
    <w:rsid w:val="00821511"/>
    <w:rsid w:val="008812DA"/>
    <w:rsid w:val="00894CBE"/>
    <w:rsid w:val="008A3A7C"/>
    <w:rsid w:val="008D4717"/>
    <w:rsid w:val="00912315"/>
    <w:rsid w:val="00946AF4"/>
    <w:rsid w:val="009665D3"/>
    <w:rsid w:val="009706CA"/>
    <w:rsid w:val="0097598E"/>
    <w:rsid w:val="009A38E0"/>
    <w:rsid w:val="009B7F92"/>
    <w:rsid w:val="009F16BF"/>
    <w:rsid w:val="00A0722D"/>
    <w:rsid w:val="00A12D1B"/>
    <w:rsid w:val="00A32A59"/>
    <w:rsid w:val="00A3378D"/>
    <w:rsid w:val="00A84B59"/>
    <w:rsid w:val="00A87419"/>
    <w:rsid w:val="00A95F8F"/>
    <w:rsid w:val="00AA7E11"/>
    <w:rsid w:val="00B42E6B"/>
    <w:rsid w:val="00B722F4"/>
    <w:rsid w:val="00B80438"/>
    <w:rsid w:val="00BA6AB9"/>
    <w:rsid w:val="00BE057D"/>
    <w:rsid w:val="00C14C55"/>
    <w:rsid w:val="00C6645D"/>
    <w:rsid w:val="00C74998"/>
    <w:rsid w:val="00C74E34"/>
    <w:rsid w:val="00CB0766"/>
    <w:rsid w:val="00CD593A"/>
    <w:rsid w:val="00CF4C7F"/>
    <w:rsid w:val="00D03454"/>
    <w:rsid w:val="00D16A4E"/>
    <w:rsid w:val="00D42FFE"/>
    <w:rsid w:val="00D47B06"/>
    <w:rsid w:val="00D50719"/>
    <w:rsid w:val="00D742E3"/>
    <w:rsid w:val="00DA4903"/>
    <w:rsid w:val="00DD3C6D"/>
    <w:rsid w:val="00E0651F"/>
    <w:rsid w:val="00E84DE2"/>
    <w:rsid w:val="00ED365B"/>
    <w:rsid w:val="00ED7E13"/>
    <w:rsid w:val="00F73071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1902"/>
  <w15:docId w15:val="{97194C45-B141-41ED-AF6F-9F03FCFA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28C"/>
    <w:pPr>
      <w:spacing w:after="0" w:line="240" w:lineRule="auto"/>
    </w:pPr>
  </w:style>
  <w:style w:type="table" w:styleId="TableGrid">
    <w:name w:val="Table Grid"/>
    <w:basedOn w:val="TableNormal"/>
    <w:uiPriority w:val="59"/>
    <w:rsid w:val="00A8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Rosemary Calvert</cp:lastModifiedBy>
  <cp:revision>5</cp:revision>
  <cp:lastPrinted>2016-08-16T03:40:00Z</cp:lastPrinted>
  <dcterms:created xsi:type="dcterms:W3CDTF">2017-07-30T22:01:00Z</dcterms:created>
  <dcterms:modified xsi:type="dcterms:W3CDTF">2017-07-31T01:12:00Z</dcterms:modified>
</cp:coreProperties>
</file>